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6860B" w14:textId="0ADDE3C6" w:rsidR="00B62FE4" w:rsidRDefault="00B62FE4">
      <w:pPr>
        <w:pStyle w:val="Title"/>
        <w:spacing w:after="80"/>
      </w:pPr>
      <w:r>
        <w:rPr>
          <w:noProof/>
        </w:rPr>
        <w:drawing>
          <wp:inline distT="0" distB="0" distL="0" distR="0" wp14:anchorId="69B92A06" wp14:editId="7F8E26E1">
            <wp:extent cx="838200" cy="571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6F06B" w14:textId="13B59234" w:rsidR="00C0157F" w:rsidRDefault="00000000">
      <w:pPr>
        <w:pStyle w:val="Title"/>
        <w:spacing w:after="80"/>
      </w:pPr>
      <w:r>
        <w:t>MAGEC Data Diagram Tool</w:t>
      </w:r>
    </w:p>
    <w:p w14:paraId="58322CA2" w14:textId="77777777" w:rsidR="00C0157F" w:rsidRDefault="00000000">
      <w:pPr>
        <w:spacing w:after="300"/>
      </w:pPr>
      <w:r>
        <w:rPr>
          <w:i/>
          <w:iCs/>
          <w:sz w:val="26"/>
          <w:szCs w:val="26"/>
        </w:rPr>
        <w:t>User Guide</w:t>
      </w:r>
    </w:p>
    <w:p w14:paraId="17E7351F" w14:textId="77777777" w:rsidR="00C0157F" w:rsidRDefault="00000000">
      <w:pPr>
        <w:spacing w:after="160"/>
      </w:pPr>
      <w:r>
        <w:t>This guide covers the two pages that make up the data diagram tool:</w:t>
      </w:r>
    </w:p>
    <w:p w14:paraId="1BED99D1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proofErr w:type="spellStart"/>
      <w:r>
        <w:rPr>
          <w:rFonts w:ascii="Consolas" w:eastAsia="Consolas" w:hAnsi="Consolas" w:cs="Consolas"/>
          <w:sz w:val="20"/>
          <w:szCs w:val="20"/>
        </w:rPr>
        <w:t>dataDiagramList.php</w:t>
      </w:r>
      <w:proofErr w:type="spellEnd"/>
      <w:r>
        <w:t xml:space="preserve"> — the browser/menu page that lists every diagram and lets you open or create one.</w:t>
      </w:r>
    </w:p>
    <w:p w14:paraId="05329935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proofErr w:type="spellStart"/>
      <w:r>
        <w:rPr>
          <w:rFonts w:ascii="Consolas" w:eastAsia="Consolas" w:hAnsi="Consolas" w:cs="Consolas"/>
          <w:sz w:val="20"/>
          <w:szCs w:val="20"/>
        </w:rPr>
        <w:t>dataDiagram.php</w:t>
      </w:r>
      <w:proofErr w:type="spellEnd"/>
      <w:r>
        <w:t xml:space="preserve"> — the diagram editor and viewer itself.</w:t>
      </w:r>
    </w:p>
    <w:p w14:paraId="012C352A" w14:textId="77777777" w:rsidR="00C0157F" w:rsidRDefault="00C0157F">
      <w:pPr>
        <w:pBdr>
          <w:bottom w:val="single" w:sz="6" w:space="1" w:color="999999"/>
        </w:pBdr>
        <w:spacing w:after="240"/>
      </w:pPr>
    </w:p>
    <w:p w14:paraId="1800347F" w14:textId="77777777" w:rsidR="00C0157F" w:rsidRDefault="00000000">
      <w:pPr>
        <w:pStyle w:val="Heading1"/>
        <w:spacing w:before="320" w:after="160"/>
      </w:pPr>
      <w:r>
        <w:t>1. The Diagram List (</w:t>
      </w:r>
      <w:proofErr w:type="spellStart"/>
      <w:r>
        <w:t>dataDiagramList.php</w:t>
      </w:r>
      <w:proofErr w:type="spellEnd"/>
      <w:r>
        <w:t>)</w:t>
      </w:r>
    </w:p>
    <w:p w14:paraId="5AEAB45E" w14:textId="77777777" w:rsidR="00C0157F" w:rsidRDefault="00000000">
      <w:pPr>
        <w:spacing w:after="160"/>
      </w:pPr>
      <w:r>
        <w:t>Open this page first — it's your home base for finding and managing diagrams.</w:t>
      </w:r>
    </w:p>
    <w:p w14:paraId="79166362" w14:textId="77777777" w:rsidR="00C0157F" w:rsidRDefault="00000000">
      <w:pPr>
        <w:pStyle w:val="Heading2"/>
        <w:spacing w:before="260" w:after="120"/>
      </w:pPr>
      <w:r>
        <w:t>What you'll see</w:t>
      </w:r>
    </w:p>
    <w:p w14:paraId="6AEF980A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One card per diagram, showing:</w:t>
      </w:r>
    </w:p>
    <w:p w14:paraId="04A8B824" w14:textId="77777777" w:rsidR="00C0157F" w:rsidRDefault="00000000">
      <w:pPr>
        <w:pStyle w:val="ListParagraph"/>
        <w:numPr>
          <w:ilvl w:val="1"/>
          <w:numId w:val="2"/>
        </w:numPr>
        <w:spacing w:after="80"/>
      </w:pPr>
      <w:r>
        <w:t>Its name</w:t>
      </w:r>
    </w:p>
    <w:p w14:paraId="57ACDDF8" w14:textId="77777777" w:rsidR="00C0157F" w:rsidRDefault="00000000">
      <w:pPr>
        <w:pStyle w:val="ListParagraph"/>
        <w:numPr>
          <w:ilvl w:val="1"/>
          <w:numId w:val="2"/>
        </w:numPr>
        <w:spacing w:after="80"/>
      </w:pPr>
      <w:r>
        <w:t>The number of entities and relationships it contains</w:t>
      </w:r>
    </w:p>
    <w:p w14:paraId="1DCC6955" w14:textId="77777777" w:rsidR="00C0157F" w:rsidRDefault="00000000">
      <w:pPr>
        <w:pStyle w:val="ListParagraph"/>
        <w:numPr>
          <w:ilvl w:val="1"/>
          <w:numId w:val="2"/>
        </w:numPr>
        <w:spacing w:after="80"/>
      </w:pPr>
      <w:r>
        <w:t>When it was last modified and its file size</w:t>
      </w:r>
    </w:p>
    <w:p w14:paraId="45F1AD7B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 xml:space="preserve">Cards are sorted most-recently-modified first, except a diagram named </w:t>
      </w:r>
      <w:proofErr w:type="spellStart"/>
      <w:r>
        <w:t>DataDiagramHelp</w:t>
      </w:r>
      <w:proofErr w:type="spellEnd"/>
      <w:r>
        <w:t xml:space="preserve"> (if one exists) always appears at the top, since that's the one people most often want a quick link back to.</w:t>
      </w:r>
    </w:p>
    <w:p w14:paraId="63992C16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 xml:space="preserve">Only </w:t>
      </w:r>
      <w:r>
        <w:rPr>
          <w:rFonts w:ascii="Consolas" w:eastAsia="Consolas" w:hAnsi="Consolas" w:cs="Consolas"/>
          <w:sz w:val="20"/>
          <w:szCs w:val="20"/>
        </w:rPr>
        <w:t>.xml</w:t>
      </w:r>
      <w:r>
        <w:t xml:space="preserve"> files that </w:t>
      </w:r>
      <w:proofErr w:type="gramStart"/>
      <w:r>
        <w:t>actually contain</w:t>
      </w:r>
      <w:proofErr w:type="gramEnd"/>
      <w:r>
        <w:t xml:space="preserve"> a </w:t>
      </w:r>
      <w:r>
        <w:rPr>
          <w:rFonts w:ascii="Consolas" w:eastAsia="Consolas" w:hAnsi="Consolas" w:cs="Consolas"/>
          <w:sz w:val="20"/>
          <w:szCs w:val="20"/>
        </w:rPr>
        <w:t>&lt;</w:t>
      </w:r>
      <w:proofErr w:type="spellStart"/>
      <w:r>
        <w:rPr>
          <w:rFonts w:ascii="Consolas" w:eastAsia="Consolas" w:hAnsi="Consolas" w:cs="Consolas"/>
          <w:sz w:val="20"/>
          <w:szCs w:val="20"/>
        </w:rPr>
        <w:t>datadiagram</w:t>
      </w:r>
      <w:proofErr w:type="spellEnd"/>
      <w:r>
        <w:rPr>
          <w:rFonts w:ascii="Consolas" w:eastAsia="Consolas" w:hAnsi="Consolas" w:cs="Consolas"/>
          <w:sz w:val="20"/>
          <w:szCs w:val="20"/>
        </w:rPr>
        <w:t>&gt;</w:t>
      </w:r>
      <w:r>
        <w:t xml:space="preserve"> tag </w:t>
      </w:r>
      <w:proofErr w:type="gramStart"/>
      <w:r>
        <w:t>are</w:t>
      </w:r>
      <w:proofErr w:type="gramEnd"/>
      <w:r>
        <w:t xml:space="preserve"> listed — other XML files sitting in the same folder are ignored, so this list won't get cluttered by unrelated files.</w:t>
      </w:r>
    </w:p>
    <w:p w14:paraId="063D311F" w14:textId="77777777" w:rsidR="00C0157F" w:rsidRDefault="00000000">
      <w:pPr>
        <w:pStyle w:val="Heading2"/>
        <w:spacing w:before="260" w:after="120"/>
      </w:pPr>
      <w:r>
        <w:t>Opening a diagram</w:t>
      </w:r>
    </w:p>
    <w:p w14:paraId="74921FAA" w14:textId="77777777" w:rsidR="00C0157F" w:rsidRDefault="00000000">
      <w:pPr>
        <w:spacing w:after="160"/>
      </w:pPr>
      <w:r>
        <w:t>Click anywhere on a card to open that diagram in the editor (it loads into the MAIN frame/window).</w:t>
      </w:r>
    </w:p>
    <w:p w14:paraId="24D5BFCF" w14:textId="77777777" w:rsidR="00C0157F" w:rsidRDefault="00000000">
      <w:pPr>
        <w:pStyle w:val="Heading2"/>
        <w:spacing w:before="260" w:after="120"/>
      </w:pPr>
      <w:r>
        <w:t>Creating a new diagram</w:t>
      </w:r>
    </w:p>
    <w:p w14:paraId="372C3633" w14:textId="77777777" w:rsidR="00C0157F" w:rsidRDefault="00000000">
      <w:pPr>
        <w:spacing w:after="160"/>
      </w:pPr>
      <w:r>
        <w:t xml:space="preserve">Click </w:t>
      </w:r>
      <w:r>
        <w:rPr>
          <w:b/>
          <w:bCs/>
        </w:rPr>
        <w:t>"+ New data diagram"</w:t>
      </w:r>
      <w:r>
        <w:t xml:space="preserve">. This opens the editor at </w:t>
      </w:r>
      <w:proofErr w:type="spellStart"/>
      <w:r>
        <w:rPr>
          <w:rFonts w:ascii="Consolas" w:eastAsia="Consolas" w:hAnsi="Consolas" w:cs="Consolas"/>
          <w:sz w:val="20"/>
          <w:szCs w:val="20"/>
        </w:rPr>
        <w:t>dataDiagram.php?name</w:t>
      </w:r>
      <w:proofErr w:type="spellEnd"/>
      <w:r>
        <w:rPr>
          <w:rFonts w:ascii="Consolas" w:eastAsia="Consolas" w:hAnsi="Consolas" w:cs="Consolas"/>
          <w:sz w:val="20"/>
          <w:szCs w:val="20"/>
        </w:rPr>
        <w:t>=new</w:t>
      </w:r>
      <w:r>
        <w:t>.</w:t>
      </w:r>
    </w:p>
    <w:p w14:paraId="36281FBD" w14:textId="77777777" w:rsidR="00C0157F" w:rsidRDefault="00000000">
      <w:pPr>
        <w:spacing w:after="160"/>
      </w:pPr>
      <w:r>
        <w:rPr>
          <w:b/>
          <w:bCs/>
        </w:rPr>
        <w:t>The editor now asks you to name the diagram immediately</w:t>
      </w:r>
      <w:r>
        <w:t xml:space="preserve"> — as soon as it opens, a prompt appears asking for a file name. Type one and the editor:</w:t>
      </w:r>
    </w:p>
    <w:p w14:paraId="3C566E00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creates a blank diagram that will save under the name you typed (no "Save As" step needed later), and</w:t>
      </w:r>
    </w:p>
    <w:p w14:paraId="5AC6D5C2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 xml:space="preserve">adds a starter </w:t>
      </w:r>
      <w:r>
        <w:rPr>
          <w:rFonts w:ascii="Consolas" w:eastAsia="Consolas" w:hAnsi="Consolas" w:cs="Consolas"/>
          <w:sz w:val="20"/>
          <w:szCs w:val="20"/>
        </w:rPr>
        <w:t>TITLE</w:t>
      </w:r>
      <w:r>
        <w:t xml:space="preserve"> entity to the canvas, pre-filled with that same name. This title text is completely independent of the file name from that point on — rename it, retype it to something else, or delete it entirely, with no effect on what file the diagram saves to.</w:t>
      </w:r>
    </w:p>
    <w:p w14:paraId="19035290" w14:textId="77777777" w:rsidR="00C0157F" w:rsidRDefault="00000000">
      <w:pPr>
        <w:spacing w:after="160"/>
      </w:pPr>
      <w:r>
        <w:lastRenderedPageBreak/>
        <w:t xml:space="preserve">If you cancel the prompt instead of typing a name, the diagram falls back to the generic name </w:t>
      </w:r>
      <w:proofErr w:type="spellStart"/>
      <w:r>
        <w:t>dataDiagram</w:t>
      </w:r>
      <w:proofErr w:type="spellEnd"/>
      <w:r>
        <w:t>.</w:t>
      </w:r>
    </w:p>
    <w:p w14:paraId="2F83250C" w14:textId="77777777" w:rsidR="00C0157F" w:rsidRDefault="00000000">
      <w:pPr>
        <w:spacing w:after="160"/>
      </w:pPr>
      <w:r>
        <w:rPr>
          <w:i/>
          <w:iCs/>
        </w:rPr>
        <w:t xml:space="preserve">Tip: </w:t>
      </w:r>
      <w:r>
        <w:t xml:space="preserve">You can still skip the prompt and jump straight to a specific name by navigating directly to </w:t>
      </w:r>
      <w:proofErr w:type="spellStart"/>
      <w:r>
        <w:rPr>
          <w:rFonts w:ascii="Consolas" w:eastAsia="Consolas" w:hAnsi="Consolas" w:cs="Consolas"/>
          <w:sz w:val="20"/>
          <w:szCs w:val="20"/>
        </w:rPr>
        <w:t>dataDiagram.php?name</w:t>
      </w:r>
      <w:proofErr w:type="spellEnd"/>
      <w:r>
        <w:rPr>
          <w:rFonts w:ascii="Consolas" w:eastAsia="Consolas" w:hAnsi="Consolas" w:cs="Consolas"/>
          <w:sz w:val="20"/>
          <w:szCs w:val="20"/>
        </w:rPr>
        <w:t>=</w:t>
      </w:r>
      <w:proofErr w:type="spellStart"/>
      <w:r>
        <w:rPr>
          <w:rFonts w:ascii="Consolas" w:eastAsia="Consolas" w:hAnsi="Consolas" w:cs="Consolas"/>
          <w:sz w:val="20"/>
          <w:szCs w:val="20"/>
        </w:rPr>
        <w:t>YourDiagramName</w:t>
      </w:r>
      <w:proofErr w:type="spellEnd"/>
      <w:r>
        <w:t xml:space="preserve"> — this opens a fresh diagram under that name without asking.</w:t>
      </w:r>
    </w:p>
    <w:p w14:paraId="553102D1" w14:textId="77777777" w:rsidR="00C0157F" w:rsidRDefault="00000000">
      <w:pPr>
        <w:spacing w:after="160"/>
      </w:pPr>
      <w:r>
        <w:t>Once a diagram has been saved under a real name and you return to the list, it'll show up as its own card.</w:t>
      </w:r>
    </w:p>
    <w:p w14:paraId="5445F460" w14:textId="77777777" w:rsidR="00C0157F" w:rsidRDefault="00000000">
      <w:pPr>
        <w:pStyle w:val="Heading2"/>
        <w:spacing w:before="260" w:after="120"/>
      </w:pPr>
      <w:r>
        <w:t>Exiting</w:t>
      </w:r>
    </w:p>
    <w:p w14:paraId="1ABCE8A9" w14:textId="77777777" w:rsidR="00C0157F" w:rsidRDefault="00000000">
      <w:pPr>
        <w:spacing w:after="160"/>
      </w:pPr>
      <w:r>
        <w:t>Click 🚪 Exit in the top-right to go back to whatever page you were on before this list (equivalent to your browser's Back button).</w:t>
      </w:r>
    </w:p>
    <w:p w14:paraId="5C365071" w14:textId="77777777" w:rsidR="00C0157F" w:rsidRDefault="00C0157F">
      <w:pPr>
        <w:pBdr>
          <w:bottom w:val="single" w:sz="6" w:space="1" w:color="999999"/>
        </w:pBdr>
        <w:spacing w:after="240"/>
      </w:pPr>
    </w:p>
    <w:p w14:paraId="2AB8EFF8" w14:textId="77777777" w:rsidR="00C0157F" w:rsidRDefault="00000000">
      <w:pPr>
        <w:pStyle w:val="Heading1"/>
        <w:spacing w:before="320" w:after="160"/>
      </w:pPr>
      <w:r>
        <w:t>2. The Diagram Editor (</w:t>
      </w:r>
      <w:proofErr w:type="spellStart"/>
      <w:r>
        <w:t>dataDiagram.php</w:t>
      </w:r>
      <w:proofErr w:type="spellEnd"/>
      <w:r>
        <w:t>)</w:t>
      </w:r>
    </w:p>
    <w:p w14:paraId="13DACCAC" w14:textId="77777777" w:rsidR="00C0157F" w:rsidRDefault="00000000">
      <w:pPr>
        <w:pStyle w:val="Heading2"/>
        <w:spacing w:before="260" w:after="120"/>
      </w:pPr>
      <w:r>
        <w:t>2.1 View mode vs. Edit mode</w:t>
      </w:r>
    </w:p>
    <w:p w14:paraId="4BEA9237" w14:textId="77777777" w:rsidR="00C0157F" w:rsidRDefault="00000000">
      <w:pPr>
        <w:spacing w:after="160"/>
      </w:pPr>
      <w:r>
        <w:t>The editor opens in View mode by default — nothing can be accidentally moved or changed. Toggle ✏️ Edit mode in the top bar to start making changes.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C0157F" w14:paraId="7B84B18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120" w:type="dxa"/>
            <w:shd w:val="clear" w:color="auto" w:fill="DDDDD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0F81682" w14:textId="77777777" w:rsidR="00C0157F" w:rsidRDefault="00000000">
            <w:r>
              <w:rPr>
                <w:b/>
                <w:bCs/>
              </w:rPr>
              <w:t>Action</w:t>
            </w:r>
          </w:p>
        </w:tc>
        <w:tc>
          <w:tcPr>
            <w:tcW w:w="3120" w:type="dxa"/>
            <w:shd w:val="clear" w:color="auto" w:fill="DDDDD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8843A7D" w14:textId="77777777" w:rsidR="00C0157F" w:rsidRDefault="00000000">
            <w:r>
              <w:rPr>
                <w:b/>
                <w:bCs/>
              </w:rPr>
              <w:t>View mode</w:t>
            </w:r>
          </w:p>
        </w:tc>
        <w:tc>
          <w:tcPr>
            <w:tcW w:w="3120" w:type="dxa"/>
            <w:shd w:val="clear" w:color="auto" w:fill="DDDDD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3C4AF45" w14:textId="77777777" w:rsidR="00C0157F" w:rsidRDefault="00000000">
            <w:r>
              <w:rPr>
                <w:b/>
                <w:bCs/>
              </w:rPr>
              <w:t>Edit mode</w:t>
            </w:r>
          </w:p>
        </w:tc>
      </w:tr>
      <w:tr w:rsidR="00C0157F" w14:paraId="29E2E398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C9C2CA4" w14:textId="77777777" w:rsidR="00C0157F" w:rsidRDefault="00000000">
            <w:r>
              <w:t>Clicking an entity</w:t>
            </w:r>
          </w:p>
        </w:tc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E694EE4" w14:textId="77777777" w:rsidR="00C0157F" w:rsidRDefault="00000000">
            <w:r>
              <w:t>Opens a read-only detail popup</w:t>
            </w:r>
          </w:p>
        </w:tc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046D53" w14:textId="77777777" w:rsidR="00C0157F" w:rsidRDefault="00000000">
            <w:r>
              <w:t>Opens the entity's edit form</w:t>
            </w:r>
          </w:p>
        </w:tc>
      </w:tr>
      <w:tr w:rsidR="00C0157F" w14:paraId="7FAA9B66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041FAEA" w14:textId="77777777" w:rsidR="00C0157F" w:rsidRDefault="00000000">
            <w:r>
              <w:t>Clicking a relationship line</w:t>
            </w:r>
          </w:p>
        </w:tc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E439B6D" w14:textId="77777777" w:rsidR="00C0157F" w:rsidRDefault="00000000">
            <w:r>
              <w:t>Nothing</w:t>
            </w:r>
          </w:p>
        </w:tc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2AE9C30" w14:textId="77777777" w:rsidR="00C0157F" w:rsidRDefault="00000000">
            <w:r>
              <w:t>Opens the relationship's edit form</w:t>
            </w:r>
          </w:p>
        </w:tc>
      </w:tr>
      <w:tr w:rsidR="00C0157F" w14:paraId="49CFF1B8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F18A093" w14:textId="77777777" w:rsidR="00C0157F" w:rsidRDefault="00000000">
            <w:r>
              <w:t>Dragging</w:t>
            </w:r>
          </w:p>
        </w:tc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ED5165E" w14:textId="77777777" w:rsidR="00C0157F" w:rsidRDefault="00000000">
            <w:r>
              <w:t>Disabled</w:t>
            </w:r>
          </w:p>
        </w:tc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FC814BA" w14:textId="77777777" w:rsidR="00C0157F" w:rsidRDefault="00000000">
            <w:r>
              <w:t>Drag a DCL (or any freestanding entity) to reposition it</w:t>
            </w:r>
          </w:p>
        </w:tc>
      </w:tr>
      <w:tr w:rsidR="00C0157F" w14:paraId="41B432DB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9790AFE" w14:textId="77777777" w:rsidR="00C0157F" w:rsidRDefault="00000000">
            <w:r>
              <w:t>Add entity / Link entities buttons</w:t>
            </w:r>
          </w:p>
        </w:tc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3A7825F" w14:textId="77777777" w:rsidR="00C0157F" w:rsidRDefault="00000000">
            <w:r>
              <w:t>Disabled</w:t>
            </w:r>
          </w:p>
        </w:tc>
        <w:tc>
          <w:tcPr>
            <w:tcW w:w="31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C415706" w14:textId="77777777" w:rsidR="00C0157F" w:rsidRDefault="00000000">
            <w:r>
              <w:t>Enabled</w:t>
            </w:r>
          </w:p>
        </w:tc>
      </w:tr>
    </w:tbl>
    <w:p w14:paraId="390FE5CF" w14:textId="77777777" w:rsidR="00C0157F" w:rsidRDefault="00C0157F">
      <w:pPr>
        <w:spacing w:after="160"/>
      </w:pPr>
    </w:p>
    <w:p w14:paraId="31EFFF68" w14:textId="77777777" w:rsidR="00C0157F" w:rsidRDefault="00000000">
      <w:pPr>
        <w:spacing w:after="160"/>
      </w:pPr>
      <w:r>
        <w:t>You can freely switch back and forth — nothing is lost by toggling Edit mode off.</w:t>
      </w:r>
    </w:p>
    <w:p w14:paraId="5F25FE03" w14:textId="77777777" w:rsidR="00C0157F" w:rsidRDefault="00000000">
      <w:pPr>
        <w:pStyle w:val="Heading2"/>
        <w:spacing w:before="260" w:after="120"/>
      </w:pPr>
      <w:r>
        <w:t>2.2 Entity types</w:t>
      </w:r>
    </w:p>
    <w:p w14:paraId="4F8EB2FF" w14:textId="77777777" w:rsidR="00C0157F" w:rsidRDefault="00000000">
      <w:pPr>
        <w:spacing w:after="160"/>
      </w:pPr>
      <w:r>
        <w:t>Every box on the diagram is one of eight types, each with its own color-coded chip: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38"/>
        <w:gridCol w:w="3718"/>
        <w:gridCol w:w="4404"/>
      </w:tblGrid>
      <w:tr w:rsidR="00C0157F" w14:paraId="2A8016E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150" w:type="dxa"/>
            <w:shd w:val="clear" w:color="auto" w:fill="DDDDD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075CEC8" w14:textId="77777777" w:rsidR="00C0157F" w:rsidRDefault="00000000">
            <w:r>
              <w:rPr>
                <w:b/>
                <w:bCs/>
              </w:rPr>
              <w:t>Type</w:t>
            </w:r>
          </w:p>
        </w:tc>
        <w:tc>
          <w:tcPr>
            <w:tcW w:w="3750" w:type="dxa"/>
            <w:shd w:val="clear" w:color="auto" w:fill="DDDDD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28AA8F2" w14:textId="77777777" w:rsidR="00C0157F" w:rsidRDefault="00000000">
            <w:r>
              <w:rPr>
                <w:b/>
                <w:bCs/>
              </w:rPr>
              <w:t>Purpose</w:t>
            </w:r>
          </w:p>
        </w:tc>
        <w:tc>
          <w:tcPr>
            <w:tcW w:w="4460" w:type="dxa"/>
            <w:shd w:val="clear" w:color="auto" w:fill="DDDDD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C802109" w14:textId="77777777" w:rsidR="00C0157F" w:rsidRDefault="00000000">
            <w:r>
              <w:rPr>
                <w:b/>
                <w:bCs/>
              </w:rPr>
              <w:t>Naming rule</w:t>
            </w:r>
          </w:p>
        </w:tc>
      </w:tr>
      <w:tr w:rsidR="00C0157F" w14:paraId="64BC2D93" w14:textId="77777777">
        <w:tblPrEx>
          <w:tblCellMar>
            <w:top w:w="0" w:type="dxa"/>
            <w:bottom w:w="0" w:type="dxa"/>
          </w:tblCellMar>
        </w:tblPrEx>
        <w:tc>
          <w:tcPr>
            <w:tcW w:w="11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EFC9F4D" w14:textId="77777777" w:rsidR="00C0157F" w:rsidRDefault="00000000">
            <w:r>
              <w:rPr>
                <w:b/>
                <w:bCs/>
              </w:rPr>
              <w:t>DCL</w:t>
            </w:r>
          </w:p>
        </w:tc>
        <w:tc>
          <w:tcPr>
            <w:tcW w:w="37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C780399" w14:textId="77777777" w:rsidR="00C0157F" w:rsidRDefault="00000000">
            <w:r>
              <w:t>A top-level data structure/record (the "root" of a group)</w:t>
            </w:r>
          </w:p>
        </w:tc>
        <w:tc>
          <w:tcPr>
            <w:tcW w:w="44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32EC804" w14:textId="77777777" w:rsidR="00C0157F" w:rsidRDefault="00000000">
            <w:r>
              <w:t>Exactly 3 letters/digits, starting with a letter (e.g. ABC)</w:t>
            </w:r>
          </w:p>
        </w:tc>
      </w:tr>
      <w:tr w:rsidR="00C0157F" w14:paraId="785B5A2A" w14:textId="77777777">
        <w:tblPrEx>
          <w:tblCellMar>
            <w:top w:w="0" w:type="dxa"/>
            <w:bottom w:w="0" w:type="dxa"/>
          </w:tblCellMar>
        </w:tblPrEx>
        <w:tc>
          <w:tcPr>
            <w:tcW w:w="11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22D3E71" w14:textId="77777777" w:rsidR="00C0157F" w:rsidRDefault="00000000">
            <w:r>
              <w:rPr>
                <w:b/>
                <w:bCs/>
              </w:rPr>
              <w:t>KYF</w:t>
            </w:r>
          </w:p>
        </w:tc>
        <w:tc>
          <w:tcPr>
            <w:tcW w:w="37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CC126F4" w14:textId="77777777" w:rsidR="00C0157F" w:rsidRDefault="00000000">
            <w:r>
              <w:t>A key field belonging to a DCL</w:t>
            </w:r>
          </w:p>
        </w:tc>
        <w:tc>
          <w:tcPr>
            <w:tcW w:w="44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900376E" w14:textId="77777777" w:rsidR="00C0157F" w:rsidRDefault="00000000">
            <w:r>
              <w:t xml:space="preserve">5 characters: the </w:t>
            </w:r>
            <w:proofErr w:type="gramStart"/>
            <w:r>
              <w:t>owning</w:t>
            </w:r>
            <w:proofErr w:type="gramEnd"/>
            <w:r>
              <w:t xml:space="preserve"> DCL's 3-letter name + K + a digit (e.g. ABCK1)</w:t>
            </w:r>
          </w:p>
        </w:tc>
      </w:tr>
      <w:tr w:rsidR="00C0157F" w14:paraId="03535415" w14:textId="77777777">
        <w:tblPrEx>
          <w:tblCellMar>
            <w:top w:w="0" w:type="dxa"/>
            <w:bottom w:w="0" w:type="dxa"/>
          </w:tblCellMar>
        </w:tblPrEx>
        <w:tc>
          <w:tcPr>
            <w:tcW w:w="11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39EE9FA" w14:textId="77777777" w:rsidR="00C0157F" w:rsidRDefault="00000000">
            <w:r>
              <w:rPr>
                <w:b/>
                <w:bCs/>
              </w:rPr>
              <w:lastRenderedPageBreak/>
              <w:t>ELT</w:t>
            </w:r>
          </w:p>
        </w:tc>
        <w:tc>
          <w:tcPr>
            <w:tcW w:w="37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2830B3D" w14:textId="77777777" w:rsidR="00C0157F" w:rsidRDefault="00000000">
            <w:r>
              <w:t>An element/segment within a DCL</w:t>
            </w:r>
          </w:p>
        </w:tc>
        <w:tc>
          <w:tcPr>
            <w:tcW w:w="44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85300D2" w14:textId="77777777" w:rsidR="00C0157F" w:rsidRDefault="00000000">
            <w:r>
              <w:t>5 characters: the owning DCL's name + 2 digits (e.g. ABC00)</w:t>
            </w:r>
          </w:p>
        </w:tc>
      </w:tr>
      <w:tr w:rsidR="00C0157F" w14:paraId="79CDFA87" w14:textId="77777777">
        <w:tblPrEx>
          <w:tblCellMar>
            <w:top w:w="0" w:type="dxa"/>
            <w:bottom w:w="0" w:type="dxa"/>
          </w:tblCellMar>
        </w:tblPrEx>
        <w:tc>
          <w:tcPr>
            <w:tcW w:w="11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ECD4A4D" w14:textId="77777777" w:rsidR="00C0157F" w:rsidRDefault="00000000">
            <w:r>
              <w:rPr>
                <w:b/>
                <w:bCs/>
              </w:rPr>
              <w:t>DIT</w:t>
            </w:r>
          </w:p>
        </w:tc>
        <w:tc>
          <w:tcPr>
            <w:tcW w:w="37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4A826F2" w14:textId="77777777" w:rsidR="00C0157F" w:rsidRDefault="00000000">
            <w:r>
              <w:t>An individual data item/field within an ELT</w:t>
            </w:r>
          </w:p>
        </w:tc>
        <w:tc>
          <w:tcPr>
            <w:tcW w:w="44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1EADA86" w14:textId="77777777" w:rsidR="00C0157F" w:rsidRDefault="00000000">
            <w:r>
              <w:t>A valid Cobol-style name starting with its owning ELT's name (e.g. ABC00-CUSTOMER-NAME)</w:t>
            </w:r>
          </w:p>
        </w:tc>
      </w:tr>
      <w:tr w:rsidR="00C0157F" w14:paraId="19911FF7" w14:textId="77777777">
        <w:tblPrEx>
          <w:tblCellMar>
            <w:top w:w="0" w:type="dxa"/>
            <w:bottom w:w="0" w:type="dxa"/>
          </w:tblCellMar>
        </w:tblPrEx>
        <w:tc>
          <w:tcPr>
            <w:tcW w:w="11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E11018E" w14:textId="77777777" w:rsidR="00C0157F" w:rsidRDefault="00000000">
            <w:r>
              <w:rPr>
                <w:b/>
                <w:bCs/>
              </w:rPr>
              <w:t>COPYBOOK</w:t>
            </w:r>
          </w:p>
        </w:tc>
        <w:tc>
          <w:tcPr>
            <w:tcW w:w="37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D758FD0" w14:textId="77777777" w:rsidR="00C0157F" w:rsidRDefault="00000000">
            <w:r>
              <w:t>A generated copybook</w:t>
            </w:r>
          </w:p>
        </w:tc>
        <w:tc>
          <w:tcPr>
            <w:tcW w:w="44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21ACF57" w14:textId="77777777" w:rsidR="00C0157F" w:rsidRDefault="00000000">
            <w:r>
              <w:t>ELT name plus "-C", e.g. "VAC01-C"</w:t>
            </w:r>
          </w:p>
        </w:tc>
      </w:tr>
      <w:tr w:rsidR="00C0157F" w14:paraId="60DA57A1" w14:textId="77777777">
        <w:tblPrEx>
          <w:tblCellMar>
            <w:top w:w="0" w:type="dxa"/>
            <w:bottom w:w="0" w:type="dxa"/>
          </w:tblCellMar>
        </w:tblPrEx>
        <w:tc>
          <w:tcPr>
            <w:tcW w:w="11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F83F4A9" w14:textId="77777777" w:rsidR="00C0157F" w:rsidRDefault="00000000">
            <w:r>
              <w:rPr>
                <w:b/>
                <w:bCs/>
              </w:rPr>
              <w:t>DOMAIN</w:t>
            </w:r>
          </w:p>
        </w:tc>
        <w:tc>
          <w:tcPr>
            <w:tcW w:w="37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44DDE7F" w14:textId="77777777" w:rsidR="00C0157F" w:rsidRDefault="00000000">
            <w:r>
              <w:t>A reusable value-domain classification (e.g. CUSTOMER-ID)</w:t>
            </w:r>
          </w:p>
        </w:tc>
        <w:tc>
          <w:tcPr>
            <w:tcW w:w="44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A5D8594" w14:textId="77777777" w:rsidR="00C0157F" w:rsidRDefault="00000000">
            <w:r>
              <w:t>Cobol-style name, up to 20 characters — does not need to sit under any ELT</w:t>
            </w:r>
          </w:p>
        </w:tc>
      </w:tr>
      <w:tr w:rsidR="00C0157F" w14:paraId="1EF21272" w14:textId="77777777">
        <w:tblPrEx>
          <w:tblCellMar>
            <w:top w:w="0" w:type="dxa"/>
            <w:bottom w:w="0" w:type="dxa"/>
          </w:tblCellMar>
        </w:tblPrEx>
        <w:tc>
          <w:tcPr>
            <w:tcW w:w="11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360A5AA" w14:textId="77777777" w:rsidR="00C0157F" w:rsidRDefault="00000000">
            <w:r>
              <w:rPr>
                <w:b/>
                <w:bCs/>
              </w:rPr>
              <w:t>TITLE</w:t>
            </w:r>
          </w:p>
        </w:tc>
        <w:tc>
          <w:tcPr>
            <w:tcW w:w="37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DC02CFF" w14:textId="77777777" w:rsidR="00C0157F" w:rsidRDefault="00000000">
            <w:r>
              <w:t>A free-text heading/annotation on the diagram</w:t>
            </w:r>
          </w:p>
        </w:tc>
        <w:tc>
          <w:tcPr>
            <w:tcW w:w="44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08AFBFD" w14:textId="77777777" w:rsidR="00C0157F" w:rsidRDefault="00000000">
            <w:r>
              <w:t>Any text — not a data entity, can't be linked to via a relationship</w:t>
            </w:r>
          </w:p>
        </w:tc>
      </w:tr>
      <w:tr w:rsidR="00C0157F" w14:paraId="6EE33AF0" w14:textId="77777777">
        <w:tblPrEx>
          <w:tblCellMar>
            <w:top w:w="0" w:type="dxa"/>
            <w:bottom w:w="0" w:type="dxa"/>
          </w:tblCellMar>
        </w:tblPrEx>
        <w:tc>
          <w:tcPr>
            <w:tcW w:w="11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7BA6ADE" w14:textId="77777777" w:rsidR="00C0157F" w:rsidRDefault="00000000">
            <w:r>
              <w:rPr>
                <w:b/>
                <w:bCs/>
              </w:rPr>
              <w:t>COMMENT</w:t>
            </w:r>
          </w:p>
        </w:tc>
        <w:tc>
          <w:tcPr>
            <w:tcW w:w="375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5A29D1D" w14:textId="77777777" w:rsidR="00C0157F" w:rsidRDefault="00000000">
            <w:r>
              <w:t>A free-text note/annotation on the diagram</w:t>
            </w:r>
          </w:p>
        </w:tc>
        <w:tc>
          <w:tcPr>
            <w:tcW w:w="44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A7252E6" w14:textId="77777777" w:rsidR="00C0157F" w:rsidRDefault="00000000">
            <w:r>
              <w:t>Any text — same as TITLE</w:t>
            </w:r>
          </w:p>
        </w:tc>
      </w:tr>
    </w:tbl>
    <w:p w14:paraId="1E58ECEB" w14:textId="77777777" w:rsidR="00C0157F" w:rsidRDefault="00C0157F">
      <w:pPr>
        <w:spacing w:after="160"/>
      </w:pPr>
    </w:p>
    <w:p w14:paraId="5485C438" w14:textId="77777777" w:rsidR="00C0157F" w:rsidRDefault="00000000">
      <w:pPr>
        <w:spacing w:after="160"/>
      </w:pPr>
      <w:r>
        <w:t xml:space="preserve">Auto-layout: KYF, ELT, and DIT entities position themselves automatically underneath their </w:t>
      </w:r>
      <w:proofErr w:type="gramStart"/>
      <w:r>
        <w:t>owning</w:t>
      </w:r>
      <w:proofErr w:type="gramEnd"/>
      <w:r>
        <w:t xml:space="preserve"> DCL/ELT, based on their name prefix — you only ever drag the DCL itself, and everything nested under it follows along.</w:t>
      </w:r>
    </w:p>
    <w:p w14:paraId="2AC571CF" w14:textId="77777777" w:rsidR="00C0157F" w:rsidRDefault="00000000">
      <w:pPr>
        <w:pStyle w:val="Heading2"/>
        <w:spacing w:before="260" w:after="120"/>
      </w:pPr>
      <w:r>
        <w:t>2.3 Adding, editing, and deleting entities</w:t>
      </w:r>
    </w:p>
    <w:p w14:paraId="73ABE764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Turn on Edit mode.</w:t>
      </w:r>
    </w:p>
    <w:p w14:paraId="24D8D553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Click ➕ Add entity — a new entity appears and its edit form opens immediately.</w:t>
      </w:r>
    </w:p>
    <w:p w14:paraId="2D7C9D81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Choose its Type from the dropdown; the form fields below adjust depending on the type (e.g. a KYF asks for Key type, an ELT asks for Offset/Length, a DIT asks for Picture/Derived/Domain).</w:t>
      </w:r>
    </w:p>
    <w:p w14:paraId="20B33B3A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Fill in the Name, an optional Narrative (a short description shown in the popup), and an optional Link (a URL — useful for jumping to another diagram; defaults to opening in a frame/window named MAIN unless you set a different Target).</w:t>
      </w:r>
    </w:p>
    <w:p w14:paraId="16F3DFFD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Click Save changes.</w:t>
      </w:r>
    </w:p>
    <w:p w14:paraId="24E49E11" w14:textId="77777777" w:rsidR="00C0157F" w:rsidRDefault="00000000">
      <w:pPr>
        <w:spacing w:after="160"/>
      </w:pPr>
      <w:r>
        <w:t>To edit an existing entity, click it while in Edit mode. To delete it, open its edit form and click 🗑 Delete entity — this also removes any relationships attached to it.</w:t>
      </w:r>
    </w:p>
    <w:p w14:paraId="7190ABA5" w14:textId="77777777" w:rsidR="00C0157F" w:rsidRDefault="00000000">
      <w:pPr>
        <w:spacing w:after="160"/>
      </w:pPr>
      <w:r>
        <w:t>Every entity's internal ID always matches its Name — renaming an entity automatically repoints every relationship (and, for DOMAIN entities, every DIT) that referenced it under the old name.</w:t>
      </w:r>
    </w:p>
    <w:p w14:paraId="5615BEFE" w14:textId="77777777" w:rsidR="00C0157F" w:rsidRDefault="00000000">
      <w:pPr>
        <w:pStyle w:val="Heading2"/>
        <w:spacing w:before="260" w:after="120"/>
      </w:pPr>
      <w:r>
        <w:t>2.4 Line breaks in narratives</w:t>
      </w:r>
    </w:p>
    <w:p w14:paraId="1B4CFF67" w14:textId="77777777" w:rsidR="00C0157F" w:rsidRDefault="00000000">
      <w:pPr>
        <w:spacing w:after="160"/>
      </w:pPr>
      <w:r>
        <w:t xml:space="preserve">While typing an entity's </w:t>
      </w:r>
      <w:r>
        <w:rPr>
          <w:b/>
          <w:bCs/>
        </w:rPr>
        <w:t>Narrative</w:t>
      </w:r>
      <w:r>
        <w:t xml:space="preserve">, you can insert a manual line break by typing the three-character sequence </w:t>
      </w:r>
      <w:r>
        <w:rPr>
          <w:rFonts w:ascii="Consolas" w:eastAsia="Consolas" w:hAnsi="Consolas" w:cs="Consolas"/>
          <w:sz w:val="20"/>
          <w:szCs w:val="20"/>
        </w:rPr>
        <w:t>- -</w:t>
      </w:r>
      <w:r>
        <w:t xml:space="preserve"> (a hyphen, a space, and another hyphen) at the point where you want the break.</w:t>
      </w:r>
    </w:p>
    <w:p w14:paraId="73EEBFD2" w14:textId="77777777" w:rsidR="00C0157F" w:rsidRDefault="00000000">
      <w:pPr>
        <w:spacing w:after="160"/>
      </w:pPr>
      <w:r>
        <w:t>That marker is converted into an actual line break wherever the narrative is shown read-only:</w:t>
      </w:r>
    </w:p>
    <w:p w14:paraId="2941DE57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the entity's detail popup (View mode, or clicking a DOMAIN entity's usage list), and</w:t>
      </w:r>
    </w:p>
    <w:p w14:paraId="5EFB7D9B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proofErr w:type="gramStart"/>
      <w:r>
        <w:t>the</w:t>
      </w:r>
      <w:proofErr w:type="gramEnd"/>
      <w:r>
        <w:t xml:space="preserve"> tooltip shown when an exported diagram's image map is clicked.</w:t>
      </w:r>
    </w:p>
    <w:p w14:paraId="710E8084" w14:textId="77777777" w:rsidR="00C0157F" w:rsidRDefault="00000000">
      <w:pPr>
        <w:spacing w:after="160"/>
      </w:pPr>
      <w:r>
        <w:lastRenderedPageBreak/>
        <w:t xml:space="preserve">This only applies to </w:t>
      </w:r>
      <w:r>
        <w:rPr>
          <w:b/>
          <w:bCs/>
        </w:rPr>
        <w:t>narratives</w:t>
      </w:r>
      <w:r>
        <w:t xml:space="preserve"> — entity Names/labels are always shown as a single line, regardless of any </w:t>
      </w:r>
      <w:r>
        <w:rPr>
          <w:rFonts w:ascii="Consolas" w:eastAsia="Consolas" w:hAnsi="Consolas" w:cs="Consolas"/>
          <w:sz w:val="20"/>
          <w:szCs w:val="20"/>
        </w:rPr>
        <w:t>- -</w:t>
      </w:r>
      <w:r>
        <w:t xml:space="preserve"> sequence they might happen to contain.</w:t>
      </w:r>
    </w:p>
    <w:p w14:paraId="546546A8" w14:textId="77777777" w:rsidR="00C0157F" w:rsidRDefault="00000000">
      <w:pPr>
        <w:pStyle w:val="Heading2"/>
        <w:spacing w:before="260" w:after="120"/>
      </w:pPr>
      <w:r>
        <w:t>2.5 Relationships</w:t>
      </w:r>
    </w:p>
    <w:p w14:paraId="4C547ADD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In Edit mode, click 🔗 Link entities.</w:t>
      </w:r>
    </w:p>
    <w:p w14:paraId="5FFA5656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 xml:space="preserve">Click the first entity, then click a second, different entity — a relationship line is </w:t>
      </w:r>
      <w:proofErr w:type="gramStart"/>
      <w:r>
        <w:t>created</w:t>
      </w:r>
      <w:proofErr w:type="gramEnd"/>
      <w:r>
        <w:t xml:space="preserve"> and its edit form opens.</w:t>
      </w:r>
    </w:p>
    <w:p w14:paraId="21CF0A38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Set:</w:t>
      </w:r>
    </w:p>
    <w:p w14:paraId="1EC7CC2E" w14:textId="77777777" w:rsidR="00C0157F" w:rsidRDefault="00000000">
      <w:pPr>
        <w:pStyle w:val="ListParagraph"/>
        <w:numPr>
          <w:ilvl w:val="1"/>
          <w:numId w:val="2"/>
        </w:numPr>
        <w:spacing w:after="80"/>
      </w:pPr>
      <w:r>
        <w:t>Label — the verb phrase describing the relationship (e.g. "owns", "maps to")</w:t>
      </w:r>
    </w:p>
    <w:p w14:paraId="71F0BF46" w14:textId="77777777" w:rsidR="00C0157F" w:rsidRDefault="00000000">
      <w:pPr>
        <w:pStyle w:val="ListParagraph"/>
        <w:numPr>
          <w:ilvl w:val="1"/>
          <w:numId w:val="2"/>
        </w:numPr>
        <w:spacing w:after="80"/>
      </w:pPr>
      <w:r>
        <w:t>Domain (</w:t>
      </w:r>
      <w:proofErr w:type="gramStart"/>
      <w:r>
        <w:t>optional) —</w:t>
      </w:r>
      <w:proofErr w:type="gramEnd"/>
      <w:r>
        <w:t xml:space="preserve"> tags the relationship itself with a DOMAIN entity, shown as a small pink label along the line</w:t>
      </w:r>
    </w:p>
    <w:p w14:paraId="3BE6D3F8" w14:textId="77777777" w:rsidR="00C0157F" w:rsidRDefault="00000000">
      <w:pPr>
        <w:pStyle w:val="ListParagraph"/>
        <w:numPr>
          <w:ilvl w:val="1"/>
          <w:numId w:val="2"/>
        </w:numPr>
        <w:spacing w:after="80"/>
      </w:pPr>
      <w:r>
        <w:t>Cardinality at each end — One or Many (crow's-foot notation)</w:t>
      </w:r>
    </w:p>
    <w:p w14:paraId="215EAE88" w14:textId="77777777" w:rsidR="00C0157F" w:rsidRDefault="00000000">
      <w:pPr>
        <w:pStyle w:val="ListParagraph"/>
        <w:numPr>
          <w:ilvl w:val="1"/>
          <w:numId w:val="2"/>
        </w:numPr>
        <w:spacing w:after="80"/>
      </w:pPr>
      <w:r>
        <w:t>Optionality at each end — whether that side is optional (a circle) or mandatory (a tick mark)</w:t>
      </w:r>
    </w:p>
    <w:p w14:paraId="485A5E4A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Click Save changes.</w:t>
      </w:r>
    </w:p>
    <w:p w14:paraId="4DE01047" w14:textId="77777777" w:rsidR="00C0157F" w:rsidRDefault="00000000">
      <w:pPr>
        <w:spacing w:after="160"/>
      </w:pPr>
      <w:r>
        <w:t>Click the ℹ️ Notation button (top-right of the preview panel) at any time for a legend explaining the crow's-foot symbols.</w:t>
      </w:r>
    </w:p>
    <w:p w14:paraId="27DD5401" w14:textId="77777777" w:rsidR="00C0157F" w:rsidRDefault="00000000">
      <w:pPr>
        <w:spacing w:after="160"/>
      </w:pPr>
      <w:r>
        <w:t>Relationships that are already implied by the naming hierarchy (e.g. a DCL and its own KYF) aren't drawn as separate lines — the indentation already shows that connection.</w:t>
      </w:r>
    </w:p>
    <w:p w14:paraId="70EC6687" w14:textId="77777777" w:rsidR="00C0157F" w:rsidRDefault="00000000">
      <w:pPr>
        <w:pStyle w:val="Heading2"/>
        <w:spacing w:before="260" w:after="120"/>
      </w:pPr>
      <w:r>
        <w:t>2.6 DIT domains and automatic DOMAIN nodes</w:t>
      </w:r>
    </w:p>
    <w:p w14:paraId="382643C7" w14:textId="77777777" w:rsidR="00C0157F" w:rsidRDefault="00000000">
      <w:pPr>
        <w:spacing w:after="160"/>
      </w:pPr>
      <w:r>
        <w:t>A DIT entity's edit form has an optional Domain field. Only some DITs need one — leave it blank if it doesn't apply.</w:t>
      </w:r>
    </w:p>
    <w:p w14:paraId="2F02F127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If you type a domain name that doesn't yet exist on the diagram, a matching DOMAIN entity is created automatically the next time the diagram renders (you don't need to add it yourself).</w:t>
      </w:r>
    </w:p>
    <w:p w14:paraId="1EEA2010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The field offers autocomplete against domains already on the diagram, but you can also type a brand-new one freely.</w:t>
      </w:r>
    </w:p>
    <w:p w14:paraId="16DCD6D0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Click any DOMAIN entity (in either View or Edit mode) to see a "Where used in this diagram" list — every DIT on the current diagram that references it.</w:t>
      </w:r>
    </w:p>
    <w:p w14:paraId="3129AA9A" w14:textId="77777777" w:rsidR="00C0157F" w:rsidRDefault="00000000">
      <w:pPr>
        <w:pStyle w:val="ListParagraph"/>
        <w:numPr>
          <w:ilvl w:val="1"/>
          <w:numId w:val="2"/>
        </w:numPr>
        <w:spacing w:after="80"/>
      </w:pPr>
      <w:r>
        <w:t xml:space="preserve">This list is scoped to the diagram you have </w:t>
      </w:r>
      <w:proofErr w:type="gramStart"/>
      <w:r>
        <w:t>open</w:t>
      </w:r>
      <w:proofErr w:type="gramEnd"/>
      <w:r>
        <w:t xml:space="preserve">. The same domain name may also be used by DITs on other diagrams — the popup says so explicitly, since </w:t>
      </w:r>
      <w:proofErr w:type="gramStart"/>
      <w:r>
        <w:t>it has</w:t>
      </w:r>
      <w:proofErr w:type="gramEnd"/>
      <w:r>
        <w:t xml:space="preserve"> no way to check other files.</w:t>
      </w:r>
    </w:p>
    <w:p w14:paraId="2682A2E6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You can't delete a DOMAIN entity while any DIT on the diagram still references it — you'll get a message listing which DITs to update first. This avoids the domain node simply reappearing on the next render.</w:t>
      </w:r>
    </w:p>
    <w:p w14:paraId="7CB019EF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Renaming a DOMAIN entity automatically updates every DIT that referenced its old name.</w:t>
      </w:r>
    </w:p>
    <w:p w14:paraId="0ADFD180" w14:textId="77777777" w:rsidR="00C0157F" w:rsidRDefault="00000000">
      <w:pPr>
        <w:pStyle w:val="Heading2"/>
        <w:spacing w:before="260" w:after="120"/>
      </w:pPr>
      <w:r>
        <w:t>2.7 Titles and comments</w:t>
      </w:r>
    </w:p>
    <w:p w14:paraId="4774CFBA" w14:textId="77777777" w:rsidR="00C0157F" w:rsidRDefault="00000000">
      <w:pPr>
        <w:spacing w:after="160"/>
      </w:pPr>
      <w:r>
        <w:t xml:space="preserve">Add a TITLE or COMMENT entity the same way as any other (➕ Add entity, then set Type). These </w:t>
      </w:r>
      <w:proofErr w:type="gramStart"/>
      <w:r>
        <w:t>render</w:t>
      </w:r>
      <w:proofErr w:type="gramEnd"/>
      <w:r>
        <w:t xml:space="preserve"> as plain text with no box — TITLE uses large serif text for a diagram </w:t>
      </w:r>
      <w:proofErr w:type="gramStart"/>
      <w:r>
        <w:t>heading,</w:t>
      </w:r>
      <w:proofErr w:type="gramEnd"/>
      <w:r>
        <w:t xml:space="preserve"> COMMENT is smaller free-floating annotation text. Neither can be connected to anything with a relationship.</w:t>
      </w:r>
    </w:p>
    <w:p w14:paraId="6751DD32" w14:textId="77777777" w:rsidR="00C0157F" w:rsidRDefault="00000000">
      <w:pPr>
        <w:spacing w:after="160"/>
      </w:pPr>
      <w:r>
        <w:rPr>
          <w:i/>
          <w:iCs/>
        </w:rPr>
        <w:lastRenderedPageBreak/>
        <w:t xml:space="preserve">Note: </w:t>
      </w:r>
      <w:r>
        <w:t xml:space="preserve">a brand-new diagram (see </w:t>
      </w:r>
      <w:r>
        <w:rPr>
          <w:b/>
          <w:bCs/>
        </w:rPr>
        <w:t>1. Creating a new diagram</w:t>
      </w:r>
      <w:r>
        <w:t xml:space="preserve"> above) starts out with one TITLE entity already on the canvas, pre-filled with the name you gave the diagram — it's a normal, editable entity from that point on.</w:t>
      </w:r>
    </w:p>
    <w:p w14:paraId="4A9FC412" w14:textId="77777777" w:rsidR="00C0157F" w:rsidRDefault="00000000">
      <w:pPr>
        <w:pStyle w:val="Heading2"/>
        <w:spacing w:before="260" w:after="120"/>
      </w:pPr>
      <w:r>
        <w:t>2.8 Themes</w:t>
      </w:r>
    </w:p>
    <w:p w14:paraId="6E31B882" w14:textId="77777777" w:rsidR="00C0157F" w:rsidRDefault="00000000">
      <w:pPr>
        <w:spacing w:after="160"/>
      </w:pPr>
      <w:r>
        <w:t>Use the 🎨 dropdown in the top bar to switch the diagram's color scheme:</w:t>
      </w:r>
    </w:p>
    <w:p w14:paraId="0480487E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Bold (</w:t>
      </w:r>
      <w:proofErr w:type="gramStart"/>
      <w:r>
        <w:t>default) —</w:t>
      </w:r>
      <w:proofErr w:type="gramEnd"/>
      <w:r>
        <w:t xml:space="preserve"> the original vivid dark theme</w:t>
      </w:r>
    </w:p>
    <w:p w14:paraId="4869C797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Boardroom — pure black-and-white on a white background, for economical printing</w:t>
      </w:r>
    </w:p>
    <w:p w14:paraId="1D1AC014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Technical — a cyan/teal schematic look</w:t>
      </w:r>
    </w:p>
    <w:p w14:paraId="2647790A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Monochrome — grayscale on a dark background</w:t>
      </w:r>
    </w:p>
    <w:p w14:paraId="1EFB29D6" w14:textId="77777777" w:rsidR="00C0157F" w:rsidRDefault="00000000">
      <w:pPr>
        <w:spacing w:after="160"/>
      </w:pPr>
      <w:r>
        <w:t>Your theme choice is saved into the diagram's XML file itself, so it opens the same way next time.</w:t>
      </w:r>
    </w:p>
    <w:p w14:paraId="2480A8DF" w14:textId="77777777" w:rsidR="00C0157F" w:rsidRDefault="00000000">
      <w:pPr>
        <w:pStyle w:val="Heading2"/>
        <w:spacing w:before="260" w:after="120"/>
      </w:pPr>
      <w:r>
        <w:t>2.9 Export width and logo</w:t>
      </w:r>
    </w:p>
    <w:p w14:paraId="76DB3A57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 xml:space="preserve">Export width sets the pixel width used when generating the standalone SVG and image map (1200 / 900 / 600 </w:t>
      </w:r>
      <w:proofErr w:type="spellStart"/>
      <w:r>
        <w:t>px</w:t>
      </w:r>
      <w:proofErr w:type="spellEnd"/>
      <w:r>
        <w:t>, or whatever width was last used).</w:t>
      </w:r>
    </w:p>
    <w:p w14:paraId="535A18CF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Logo lets you overlay an image (from a logos folder next to the script) in the top-right corner of both the live preview and any exported output. Leave it set to "None" if you don't want one.</w:t>
      </w:r>
    </w:p>
    <w:p w14:paraId="4276AB1F" w14:textId="77777777" w:rsidR="00C0157F" w:rsidRDefault="00000000">
      <w:pPr>
        <w:spacing w:after="160"/>
      </w:pPr>
      <w:r>
        <w:t>Both settings are saved into the diagram's XML file, same as the theme.</w:t>
      </w:r>
    </w:p>
    <w:p w14:paraId="5D8F89A5" w14:textId="77777777" w:rsidR="00C0157F" w:rsidRDefault="00000000">
      <w:pPr>
        <w:pStyle w:val="Heading2"/>
        <w:spacing w:before="260" w:after="120"/>
      </w:pPr>
      <w:r>
        <w:t>2.10 Exporting</w:t>
      </w:r>
    </w:p>
    <w:p w14:paraId="66A0606C" w14:textId="77777777" w:rsidR="00C0157F" w:rsidRDefault="00000000">
      <w:pPr>
        <w:spacing w:after="160"/>
      </w:pPr>
      <w:r>
        <w:t>Click 📤 Export SVG + Image Map to write out two files alongside the diagram's XML:</w:t>
      </w:r>
    </w:p>
    <w:p w14:paraId="319FF523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rPr>
          <w:rFonts w:ascii="Consolas" w:eastAsia="Consolas" w:hAnsi="Consolas" w:cs="Consolas"/>
          <w:sz w:val="20"/>
          <w:szCs w:val="20"/>
        </w:rPr>
        <w:t>&lt;name&gt;.</w:t>
      </w:r>
      <w:proofErr w:type="spellStart"/>
      <w:r>
        <w:rPr>
          <w:rFonts w:ascii="Consolas" w:eastAsia="Consolas" w:hAnsi="Consolas" w:cs="Consolas"/>
          <w:sz w:val="20"/>
          <w:szCs w:val="20"/>
        </w:rPr>
        <w:t>svg</w:t>
      </w:r>
      <w:proofErr w:type="spellEnd"/>
      <w:r>
        <w:t xml:space="preserve"> — a standalone image of the diagram, usable outside this tool</w:t>
      </w:r>
    </w:p>
    <w:p w14:paraId="608C1AC0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rPr>
          <w:rFonts w:ascii="Consolas" w:eastAsia="Consolas" w:hAnsi="Consolas" w:cs="Consolas"/>
          <w:sz w:val="20"/>
          <w:szCs w:val="20"/>
        </w:rPr>
        <w:t>&lt;name</w:t>
      </w:r>
      <w:proofErr w:type="gramStart"/>
      <w:r>
        <w:rPr>
          <w:rFonts w:ascii="Consolas" w:eastAsia="Consolas" w:hAnsi="Consolas" w:cs="Consolas"/>
          <w:sz w:val="20"/>
          <w:szCs w:val="20"/>
        </w:rPr>
        <w:t>&gt;.map.html</w:t>
      </w:r>
      <w:proofErr w:type="gramEnd"/>
      <w:r>
        <w:t xml:space="preserve"> — an HTML fragment with a clickable image map over that SVG, so entities remain clickable (showing the same narrative/details/where-used popups) when embedded in another web page</w:t>
      </w:r>
    </w:p>
    <w:p w14:paraId="79EB2C2F" w14:textId="77777777" w:rsidR="00C0157F" w:rsidRDefault="00000000">
      <w:pPr>
        <w:spacing w:after="160"/>
      </w:pPr>
      <w:r>
        <w:t>You'll need to click Export again any time you want the exported files to reflect newer changes — saving the diagram itself does not automatically re-export the SVG/map.</w:t>
      </w:r>
    </w:p>
    <w:p w14:paraId="4E0B119E" w14:textId="77777777" w:rsidR="00C0157F" w:rsidRDefault="00000000">
      <w:pPr>
        <w:pStyle w:val="Heading2"/>
        <w:spacing w:before="260" w:after="120"/>
      </w:pPr>
      <w:r>
        <w:t>2.11 Saving</w:t>
      </w:r>
    </w:p>
    <w:p w14:paraId="19AFAEB2" w14:textId="77777777" w:rsidR="00C0157F" w:rsidRDefault="00000000">
      <w:pPr>
        <w:spacing w:after="160"/>
      </w:pPr>
      <w:r>
        <w:t xml:space="preserve">Click 💾 Save to write your changes to the diagram's .xml file on the server. The button is greyed out when there's nothing new to </w:t>
      </w:r>
      <w:proofErr w:type="gramStart"/>
      <w:r>
        <w:t>save, and</w:t>
      </w:r>
      <w:proofErr w:type="gramEnd"/>
      <w:r>
        <w:t xml:space="preserve"> shows an asterisk (Save*) whenever there are unsaved changes — including a theme, export width, or logo change, not just entity/relationship edits.</w:t>
      </w:r>
    </w:p>
    <w:p w14:paraId="03CDA368" w14:textId="77777777" w:rsidR="00C0157F" w:rsidRDefault="00000000">
      <w:pPr>
        <w:spacing w:after="160"/>
      </w:pPr>
      <w:r>
        <w:t>A brand-new diagram (created via the name prompt described in section 1) starts out already flagged as having unsaved changes, even before you've made a single edit — so Exit will confirm before you can accidentally lose it without saving at least once.</w:t>
      </w:r>
    </w:p>
    <w:p w14:paraId="03027DDD" w14:textId="77777777" w:rsidR="00C0157F" w:rsidRDefault="00000000">
      <w:pPr>
        <w:pStyle w:val="Heading2"/>
        <w:spacing w:before="260" w:after="120"/>
      </w:pPr>
      <w:r>
        <w:t>2.12 Printing</w:t>
      </w:r>
    </w:p>
    <w:p w14:paraId="11A339CA" w14:textId="77777777" w:rsidR="00C0157F" w:rsidRDefault="00000000">
      <w:pPr>
        <w:spacing w:after="160"/>
      </w:pPr>
      <w:r>
        <w:t>Click 🖨️ Print to print just the diagram (the toolbar and any open popups are hidden automatically). The page background prints white regardless of your chosen theme, so it never wastes ink/toner on a dark background — switch to the Boardroom theme first if you want purely black-and-white output.</w:t>
      </w:r>
    </w:p>
    <w:p w14:paraId="3DECBE32" w14:textId="77777777" w:rsidR="00C0157F" w:rsidRDefault="00000000">
      <w:pPr>
        <w:pStyle w:val="Heading2"/>
        <w:spacing w:before="260" w:after="120"/>
      </w:pPr>
      <w:r>
        <w:lastRenderedPageBreak/>
        <w:t>2.13 Exiting</w:t>
      </w:r>
    </w:p>
    <w:p w14:paraId="3E495D67" w14:textId="77777777" w:rsidR="00C0157F" w:rsidRDefault="00000000">
      <w:pPr>
        <w:spacing w:after="160"/>
      </w:pPr>
      <w:r>
        <w:t>Click 🚪 Exit. If you have unsaved changes, you'll be asked to confirm before leaving.</w:t>
      </w:r>
    </w:p>
    <w:p w14:paraId="1F911F12" w14:textId="77777777" w:rsidR="00C0157F" w:rsidRDefault="00000000">
      <w:pPr>
        <w:spacing w:after="160"/>
      </w:pPr>
      <w:r>
        <w:rPr>
          <w:i/>
          <w:iCs/>
        </w:rPr>
        <w:t xml:space="preserve">Layout note: </w:t>
      </w:r>
      <w:r>
        <w:t>Save and Exit are always the last two buttons in the header, in that order, regardless of what other controls appear before them — so you can always find them at the right-hand end of the toolbar.</w:t>
      </w:r>
    </w:p>
    <w:p w14:paraId="1D61C989" w14:textId="77777777" w:rsidR="00C0157F" w:rsidRDefault="00C0157F">
      <w:pPr>
        <w:pBdr>
          <w:bottom w:val="single" w:sz="6" w:space="1" w:color="999999"/>
        </w:pBdr>
        <w:spacing w:after="240"/>
      </w:pPr>
    </w:p>
    <w:p w14:paraId="4B7D57FF" w14:textId="77777777" w:rsidR="00C0157F" w:rsidRDefault="00000000">
      <w:pPr>
        <w:pStyle w:val="Heading1"/>
        <w:spacing w:before="320" w:after="160"/>
      </w:pPr>
      <w:r>
        <w:t>3. Quick reference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160"/>
      </w:tblGrid>
      <w:tr w:rsidR="00C0157F" w14:paraId="273D051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00" w:type="dxa"/>
            <w:shd w:val="clear" w:color="auto" w:fill="DDDDD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2A5B990" w14:textId="77777777" w:rsidR="00C0157F" w:rsidRDefault="00000000">
            <w:r>
              <w:rPr>
                <w:b/>
                <w:bCs/>
              </w:rPr>
              <w:t>Button</w:t>
            </w:r>
          </w:p>
        </w:tc>
        <w:tc>
          <w:tcPr>
            <w:tcW w:w="6160" w:type="dxa"/>
            <w:shd w:val="clear" w:color="auto" w:fill="DDDDDD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ACCA0AE" w14:textId="77777777" w:rsidR="00C0157F" w:rsidRDefault="00000000">
            <w:r>
              <w:rPr>
                <w:b/>
                <w:bCs/>
              </w:rPr>
              <w:t>What it does</w:t>
            </w:r>
          </w:p>
        </w:tc>
      </w:tr>
      <w:tr w:rsidR="00C0157F" w14:paraId="4CAE6F6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F9CB1A" w14:textId="77777777" w:rsidR="00C0157F" w:rsidRDefault="00000000">
            <w:r>
              <w:t>✏️ Edit mode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BF18CAD" w14:textId="77777777" w:rsidR="00C0157F" w:rsidRDefault="00000000">
            <w:r>
              <w:t>Toggles between read-only viewing and editing</w:t>
            </w:r>
          </w:p>
        </w:tc>
      </w:tr>
      <w:tr w:rsidR="00C0157F" w14:paraId="4BD99E5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AF5E411" w14:textId="77777777" w:rsidR="00C0157F" w:rsidRDefault="00000000">
            <w:r>
              <w:t>➕ Add entity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63B4BDA" w14:textId="77777777" w:rsidR="00C0157F" w:rsidRDefault="00000000">
            <w:r>
              <w:t>Creates a new entity and opens its edit form</w:t>
            </w:r>
          </w:p>
        </w:tc>
      </w:tr>
      <w:tr w:rsidR="00C0157F" w14:paraId="770E81E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69C7FFD" w14:textId="77777777" w:rsidR="00C0157F" w:rsidRDefault="00000000">
            <w:r>
              <w:t>🔗 Link entities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CE70DEF" w14:textId="77777777" w:rsidR="00C0157F" w:rsidRDefault="00000000">
            <w:r>
              <w:t>Starts a two-click relationship creation</w:t>
            </w:r>
          </w:p>
        </w:tc>
      </w:tr>
      <w:tr w:rsidR="00C0157F" w14:paraId="2727D99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29B8E43" w14:textId="77777777" w:rsidR="00C0157F" w:rsidRDefault="00000000">
            <w:r>
              <w:t>🎨 (theme dropdown)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AD4B20" w14:textId="77777777" w:rsidR="00C0157F" w:rsidRDefault="00000000">
            <w:r>
              <w:t>Changes the color scheme</w:t>
            </w:r>
          </w:p>
        </w:tc>
      </w:tr>
      <w:tr w:rsidR="00C0157F" w14:paraId="06BE38F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ED3C4A8" w14:textId="77777777" w:rsidR="00C0157F" w:rsidRDefault="00000000">
            <w:r>
              <w:t>Export width (dropdown)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D2C4775" w14:textId="77777777" w:rsidR="00C0157F" w:rsidRDefault="00000000">
            <w:r>
              <w:t>Sets the pixel width for exported files</w:t>
            </w:r>
          </w:p>
        </w:tc>
      </w:tr>
      <w:tr w:rsidR="00C0157F" w14:paraId="0A0D6DC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A9BE698" w14:textId="77777777" w:rsidR="00C0157F" w:rsidRDefault="00000000">
            <w:r>
              <w:t>Logo (dropdown)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9EA3C05" w14:textId="77777777" w:rsidR="00C0157F" w:rsidRDefault="00000000">
            <w:r>
              <w:t>Picks an overlay image for the preview/export</w:t>
            </w:r>
          </w:p>
        </w:tc>
      </w:tr>
      <w:tr w:rsidR="00C0157F" w14:paraId="0D854DC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03821BC" w14:textId="77777777" w:rsidR="00C0157F" w:rsidRDefault="00000000">
            <w:r>
              <w:t>📤 Export SVG + Image Map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47311F9" w14:textId="77777777" w:rsidR="00C0157F" w:rsidRDefault="00000000">
            <w:r>
              <w:t>Writes standalone .</w:t>
            </w:r>
            <w:proofErr w:type="spellStart"/>
            <w:r>
              <w:t>svg</w:t>
            </w:r>
            <w:proofErr w:type="spellEnd"/>
            <w:r>
              <w:t xml:space="preserve"> </w:t>
            </w:r>
            <w:proofErr w:type="gramStart"/>
            <w:r>
              <w:t>and .</w:t>
            </w:r>
            <w:proofErr w:type="gramEnd"/>
            <w:r>
              <w:t>map.html files</w:t>
            </w:r>
          </w:p>
        </w:tc>
      </w:tr>
      <w:tr w:rsidR="00C0157F" w14:paraId="26C3865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E05C0B4" w14:textId="77777777" w:rsidR="00C0157F" w:rsidRDefault="00000000">
            <w:r>
              <w:t>🖨️ Print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DBEAB6E" w14:textId="77777777" w:rsidR="00C0157F" w:rsidRDefault="00000000">
            <w:r>
              <w:t>Prints just the diagram</w:t>
            </w:r>
          </w:p>
        </w:tc>
      </w:tr>
      <w:tr w:rsidR="00C0157F" w14:paraId="2FF6FB0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6054FE2" w14:textId="77777777" w:rsidR="00C0157F" w:rsidRDefault="00000000">
            <w:r>
              <w:t>💾 Save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4D66540" w14:textId="77777777" w:rsidR="00C0157F" w:rsidRDefault="00000000">
            <w:r>
              <w:t>Writes your changes to the diagram's .xml file (always the second-to-last button in the header)</w:t>
            </w:r>
          </w:p>
        </w:tc>
      </w:tr>
      <w:tr w:rsidR="00C0157F" w14:paraId="4F48A468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10A0168" w14:textId="77777777" w:rsidR="00C0157F" w:rsidRDefault="00000000">
            <w:r>
              <w:t>🚪 Exit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7E4CAE5" w14:textId="77777777" w:rsidR="00C0157F" w:rsidRDefault="00000000">
            <w:r>
              <w:t>Leaves the editor — confirms first if there are unsaved changes (always the last button in the header)</w:t>
            </w:r>
          </w:p>
        </w:tc>
      </w:tr>
      <w:tr w:rsidR="00C0157F" w14:paraId="335FFC0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0D8153B" w14:textId="77777777" w:rsidR="00C0157F" w:rsidRDefault="00000000">
            <w:r>
              <w:t>ℹ️ Notation</w:t>
            </w:r>
          </w:p>
        </w:tc>
        <w:tc>
          <w:tcPr>
            <w:tcW w:w="6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CB33E0A" w14:textId="77777777" w:rsidR="00C0157F" w:rsidRDefault="00000000">
            <w:r>
              <w:t>Shows the crow's-foot cardinality/optionality legend</w:t>
            </w:r>
          </w:p>
        </w:tc>
      </w:tr>
    </w:tbl>
    <w:p w14:paraId="0454255C" w14:textId="77777777" w:rsidR="00C0157F" w:rsidRDefault="00C0157F">
      <w:pPr>
        <w:spacing w:after="160"/>
      </w:pPr>
    </w:p>
    <w:p w14:paraId="2B29F039" w14:textId="77777777" w:rsidR="00C0157F" w:rsidRDefault="00C0157F">
      <w:pPr>
        <w:pBdr>
          <w:bottom w:val="single" w:sz="6" w:space="1" w:color="999999"/>
        </w:pBdr>
        <w:spacing w:after="240"/>
      </w:pPr>
    </w:p>
    <w:p w14:paraId="02F17E39" w14:textId="77777777" w:rsidR="00C0157F" w:rsidRDefault="00000000">
      <w:pPr>
        <w:pStyle w:val="Heading1"/>
        <w:spacing w:before="320" w:after="160"/>
      </w:pPr>
      <w:r>
        <w:t>4. Tips</w:t>
      </w:r>
    </w:p>
    <w:p w14:paraId="0583F713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Escape closes any open popup and cancels an in-progress "link entities" action.</w:t>
      </w:r>
    </w:p>
    <w:p w14:paraId="32AA4762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>A DCL is always drawn behind everything nested under it, so it can never visually block or steal a click from its own children.</w:t>
      </w:r>
    </w:p>
    <w:p w14:paraId="49813CE7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 xml:space="preserve">If two relationship lines would overlap, they're automatically spread across separate connection </w:t>
      </w:r>
      <w:proofErr w:type="gramStart"/>
      <w:r>
        <w:t>points</w:t>
      </w:r>
      <w:proofErr w:type="gramEnd"/>
      <w:r>
        <w:t xml:space="preserve"> so they stay visually distinct.</w:t>
      </w:r>
    </w:p>
    <w:p w14:paraId="7E0A515A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t xml:space="preserve">Type </w:t>
      </w:r>
      <w:r>
        <w:rPr>
          <w:rFonts w:ascii="Consolas" w:eastAsia="Consolas" w:hAnsi="Consolas" w:cs="Consolas"/>
          <w:sz w:val="20"/>
          <w:szCs w:val="20"/>
        </w:rPr>
        <w:t>- -</w:t>
      </w:r>
      <w:r>
        <w:t xml:space="preserve"> inside a narrative to force a line break wherever that narrative is displayed read-only (see </w:t>
      </w:r>
      <w:r>
        <w:rPr>
          <w:b/>
          <w:bCs/>
        </w:rPr>
        <w:t>2.4 Line breaks in narratives</w:t>
      </w:r>
      <w:r>
        <w:t>).</w:t>
      </w:r>
    </w:p>
    <w:p w14:paraId="6CDFF3B6" w14:textId="77777777" w:rsidR="00C0157F" w:rsidRDefault="00000000">
      <w:pPr>
        <w:pStyle w:val="ListParagraph"/>
        <w:numPr>
          <w:ilvl w:val="0"/>
          <w:numId w:val="2"/>
        </w:numPr>
        <w:spacing w:after="80"/>
      </w:pPr>
      <w:r>
        <w:lastRenderedPageBreak/>
        <w:t>The small copyright notice at the bottom of the diagram is added automatically to both the live preview and every exported file — no action needed.</w:t>
      </w:r>
    </w:p>
    <w:sectPr w:rsidR="00C0157F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C111F1"/>
    <w:multiLevelType w:val="hybridMultilevel"/>
    <w:tmpl w:val="E274FF46"/>
    <w:lvl w:ilvl="0" w:tplc="D2941800">
      <w:start w:val="1"/>
      <w:numFmt w:val="bullet"/>
      <w:lvlText w:val="●"/>
      <w:lvlJc w:val="left"/>
      <w:pPr>
        <w:ind w:left="720" w:hanging="360"/>
      </w:pPr>
    </w:lvl>
    <w:lvl w:ilvl="1" w:tplc="30FE0028">
      <w:start w:val="1"/>
      <w:numFmt w:val="bullet"/>
      <w:lvlText w:val="○"/>
      <w:lvlJc w:val="left"/>
      <w:pPr>
        <w:ind w:left="1440" w:hanging="360"/>
      </w:pPr>
    </w:lvl>
    <w:lvl w:ilvl="2" w:tplc="3CC817E4">
      <w:start w:val="1"/>
      <w:numFmt w:val="bullet"/>
      <w:lvlText w:val="■"/>
      <w:lvlJc w:val="left"/>
      <w:pPr>
        <w:ind w:left="2160" w:hanging="360"/>
      </w:pPr>
    </w:lvl>
    <w:lvl w:ilvl="3" w:tplc="EB70C62E">
      <w:start w:val="1"/>
      <w:numFmt w:val="bullet"/>
      <w:lvlText w:val="●"/>
      <w:lvlJc w:val="left"/>
      <w:pPr>
        <w:ind w:left="2880" w:hanging="360"/>
      </w:pPr>
    </w:lvl>
    <w:lvl w:ilvl="4" w:tplc="714CCE14">
      <w:start w:val="1"/>
      <w:numFmt w:val="bullet"/>
      <w:lvlText w:val="○"/>
      <w:lvlJc w:val="left"/>
      <w:pPr>
        <w:ind w:left="3600" w:hanging="360"/>
      </w:pPr>
    </w:lvl>
    <w:lvl w:ilvl="5" w:tplc="92D47086">
      <w:start w:val="1"/>
      <w:numFmt w:val="bullet"/>
      <w:lvlText w:val="■"/>
      <w:lvlJc w:val="left"/>
      <w:pPr>
        <w:ind w:left="4320" w:hanging="360"/>
      </w:pPr>
    </w:lvl>
    <w:lvl w:ilvl="6" w:tplc="673E3D46">
      <w:start w:val="1"/>
      <w:numFmt w:val="bullet"/>
      <w:lvlText w:val="●"/>
      <w:lvlJc w:val="left"/>
      <w:pPr>
        <w:ind w:left="5040" w:hanging="360"/>
      </w:pPr>
    </w:lvl>
    <w:lvl w:ilvl="7" w:tplc="189C75D8">
      <w:start w:val="1"/>
      <w:numFmt w:val="bullet"/>
      <w:lvlText w:val="●"/>
      <w:lvlJc w:val="left"/>
      <w:pPr>
        <w:ind w:left="5760" w:hanging="360"/>
      </w:pPr>
    </w:lvl>
    <w:lvl w:ilvl="8" w:tplc="4210ABB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F6B6D9F"/>
    <w:multiLevelType w:val="hybridMultilevel"/>
    <w:tmpl w:val="738E72AA"/>
    <w:lvl w:ilvl="0" w:tplc="5CD0FD8C">
      <w:start w:val="1"/>
      <w:numFmt w:val="bullet"/>
      <w:lvlText w:val="•"/>
      <w:lvlJc w:val="left"/>
      <w:pPr>
        <w:ind w:left="360" w:hanging="260"/>
      </w:pPr>
    </w:lvl>
    <w:lvl w:ilvl="1" w:tplc="83E21322">
      <w:start w:val="1"/>
      <w:numFmt w:val="bullet"/>
      <w:lvlText w:val="◦"/>
      <w:lvlJc w:val="left"/>
      <w:pPr>
        <w:ind w:left="720" w:hanging="260"/>
      </w:pPr>
    </w:lvl>
    <w:lvl w:ilvl="2" w:tplc="63E4B056">
      <w:numFmt w:val="decimal"/>
      <w:lvlText w:val=""/>
      <w:lvlJc w:val="left"/>
    </w:lvl>
    <w:lvl w:ilvl="3" w:tplc="7744F098">
      <w:numFmt w:val="decimal"/>
      <w:lvlText w:val=""/>
      <w:lvlJc w:val="left"/>
    </w:lvl>
    <w:lvl w:ilvl="4" w:tplc="771039F8">
      <w:numFmt w:val="decimal"/>
      <w:lvlText w:val=""/>
      <w:lvlJc w:val="left"/>
    </w:lvl>
    <w:lvl w:ilvl="5" w:tplc="2F4E29D6">
      <w:numFmt w:val="decimal"/>
      <w:lvlText w:val=""/>
      <w:lvlJc w:val="left"/>
    </w:lvl>
    <w:lvl w:ilvl="6" w:tplc="4970B7D8">
      <w:numFmt w:val="decimal"/>
      <w:lvlText w:val=""/>
      <w:lvlJc w:val="left"/>
    </w:lvl>
    <w:lvl w:ilvl="7" w:tplc="69A0B76E">
      <w:numFmt w:val="decimal"/>
      <w:lvlText w:val=""/>
      <w:lvlJc w:val="left"/>
    </w:lvl>
    <w:lvl w:ilvl="8" w:tplc="9EA6CCB0">
      <w:numFmt w:val="decimal"/>
      <w:lvlText w:val=""/>
      <w:lvlJc w:val="left"/>
    </w:lvl>
  </w:abstractNum>
  <w:num w:numId="1" w16cid:durableId="1993630202">
    <w:abstractNumId w:val="0"/>
    <w:lvlOverride w:ilvl="0">
      <w:startOverride w:val="1"/>
    </w:lvlOverride>
  </w:num>
  <w:num w:numId="2" w16cid:durableId="164561963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57F"/>
    <w:rsid w:val="00402B7D"/>
    <w:rsid w:val="00B62FE4"/>
    <w:rsid w:val="00C0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B0D1B"/>
  <w15:docId w15:val="{486151B4-C27F-4E91-9AD2-3AF3B66B9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1793</Words>
  <Characters>10223</Characters>
  <Application>Microsoft Office Word</Application>
  <DocSecurity>0</DocSecurity>
  <Lines>85</Lines>
  <Paragraphs>23</Paragraphs>
  <ScaleCrop>false</ScaleCrop>
  <Company/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Al Lee</cp:lastModifiedBy>
  <cp:revision>2</cp:revision>
  <dcterms:created xsi:type="dcterms:W3CDTF">2026-08-02T03:19:00Z</dcterms:created>
  <dcterms:modified xsi:type="dcterms:W3CDTF">2026-08-02T13:23:00Z</dcterms:modified>
</cp:coreProperties>
</file>